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CC28ED" w:rsidRDefault="00CC28ED" w:rsidP="00CC28ED">
      <w:pPr>
        <w:spacing w:after="0" w:line="240" w:lineRule="auto"/>
        <w:ind w:left="288" w:hanging="288"/>
        <w:outlineLvl w:val="2"/>
        <w:rPr>
          <w:rFonts w:ascii="Calibri" w:eastAsia="Calibri" w:hAnsi="Calibri" w:cs="Times New Roman"/>
          <w:b/>
          <w:sz w:val="20"/>
          <w:szCs w:val="20"/>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4608"/>
        <w:gridCol w:w="2610"/>
        <w:gridCol w:w="990"/>
      </w:tblGrid>
      <w:tr w:rsidR="00CC28ED" w:rsidRPr="00CC28ED" w:rsidTr="00902BC9">
        <w:tc>
          <w:tcPr>
            <w:tcW w:w="1777" w:type="dxa"/>
            <w:shd w:val="clear" w:color="auto" w:fill="auto"/>
            <w:tcMar>
              <w:left w:w="43" w:type="dxa"/>
              <w:right w:w="43" w:type="dxa"/>
            </w:tcMar>
          </w:tcPr>
          <w:p w:rsidR="00CC28ED" w:rsidRPr="00C176B4" w:rsidRDefault="00902BC9" w:rsidP="00902BC9">
            <w:pPr>
              <w:spacing w:after="0" w:line="240" w:lineRule="auto"/>
              <w:rPr>
                <w:rFonts w:ascii="Calibri" w:eastAsia="Calibri" w:hAnsi="Calibri" w:cs="Times New Roman"/>
                <w:sz w:val="20"/>
                <w:szCs w:val="20"/>
              </w:rPr>
            </w:pPr>
            <w:r w:rsidRPr="00C176B4">
              <w:rPr>
                <w:rFonts w:ascii="Calibri" w:eastAsia="Calibri" w:hAnsi="Calibri" w:cs="Times New Roman"/>
                <w:sz w:val="20"/>
                <w:szCs w:val="20"/>
              </w:rPr>
              <w:t>Policy Title</w:t>
            </w:r>
            <w:r w:rsidR="00CC28ED" w:rsidRPr="00C176B4">
              <w:rPr>
                <w:rFonts w:ascii="Calibri" w:eastAsia="Calibri" w:hAnsi="Calibri" w:cs="Times New Roman"/>
                <w:sz w:val="20"/>
                <w:szCs w:val="20"/>
              </w:rPr>
              <w:t>:</w:t>
            </w:r>
          </w:p>
        </w:tc>
        <w:tc>
          <w:tcPr>
            <w:tcW w:w="4608" w:type="dxa"/>
            <w:shd w:val="clear" w:color="auto" w:fill="auto"/>
            <w:tcMar>
              <w:left w:w="43" w:type="dxa"/>
              <w:right w:w="43" w:type="dxa"/>
            </w:tcMar>
          </w:tcPr>
          <w:p w:rsidR="00EB0823" w:rsidRPr="00C176B4" w:rsidRDefault="000B0D90" w:rsidP="00EB0823">
            <w:pPr>
              <w:spacing w:after="0" w:line="240" w:lineRule="auto"/>
              <w:rPr>
                <w:rFonts w:ascii="Calibri" w:eastAsia="Calibri" w:hAnsi="Calibri" w:cs="Times New Roman"/>
                <w:sz w:val="20"/>
                <w:szCs w:val="20"/>
              </w:rPr>
            </w:pPr>
            <w:r w:rsidRPr="00C176B4">
              <w:rPr>
                <w:rFonts w:ascii="Calibri" w:eastAsia="Calibri" w:hAnsi="Calibri" w:cs="Times New Roman"/>
                <w:sz w:val="20"/>
                <w:szCs w:val="20"/>
              </w:rPr>
              <w:t>Transition</w:t>
            </w:r>
          </w:p>
        </w:tc>
        <w:tc>
          <w:tcPr>
            <w:tcW w:w="2610" w:type="dxa"/>
            <w:shd w:val="clear" w:color="auto" w:fill="auto"/>
            <w:tcMar>
              <w:left w:w="43" w:type="dxa"/>
              <w:right w:w="43" w:type="dxa"/>
            </w:tcMar>
          </w:tcPr>
          <w:p w:rsidR="00CC28ED" w:rsidRPr="00CC28ED" w:rsidRDefault="00CC28ED" w:rsidP="00CC28ED">
            <w:pPr>
              <w:spacing w:after="0" w:line="240" w:lineRule="auto"/>
              <w:ind w:left="288" w:hanging="288"/>
              <w:rPr>
                <w:rFonts w:ascii="Calibri" w:eastAsia="Calibri" w:hAnsi="Calibri" w:cs="Times New Roman"/>
                <w:sz w:val="20"/>
                <w:szCs w:val="20"/>
              </w:rPr>
            </w:pPr>
            <w:r w:rsidRPr="00CC28ED">
              <w:rPr>
                <w:rFonts w:ascii="Calibri" w:eastAsia="Calibri" w:hAnsi="Calibri" w:cs="Times New Roman"/>
                <w:sz w:val="20"/>
                <w:szCs w:val="20"/>
              </w:rPr>
              <w:t>Revision Date:</w:t>
            </w:r>
          </w:p>
        </w:tc>
        <w:tc>
          <w:tcPr>
            <w:tcW w:w="990" w:type="dxa"/>
            <w:shd w:val="clear" w:color="auto" w:fill="auto"/>
            <w:tcMar>
              <w:left w:w="43" w:type="dxa"/>
              <w:right w:w="43" w:type="dxa"/>
            </w:tcMar>
          </w:tcPr>
          <w:p w:rsidR="00CC28ED" w:rsidRPr="00CC28ED" w:rsidRDefault="000B0D90" w:rsidP="00CC28ED">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7/30</w:t>
            </w:r>
            <w:r w:rsidR="007F05DF">
              <w:rPr>
                <w:rFonts w:ascii="Calibri" w:eastAsia="Calibri" w:hAnsi="Calibri" w:cs="Times New Roman"/>
                <w:sz w:val="20"/>
                <w:szCs w:val="20"/>
              </w:rPr>
              <w:t>/2017</w:t>
            </w:r>
          </w:p>
        </w:tc>
      </w:tr>
      <w:tr w:rsidR="00CC28ED" w:rsidRPr="00CC28ED" w:rsidTr="00902BC9">
        <w:tc>
          <w:tcPr>
            <w:tcW w:w="1777" w:type="dxa"/>
            <w:shd w:val="clear" w:color="auto" w:fill="auto"/>
            <w:tcMar>
              <w:left w:w="43" w:type="dxa"/>
              <w:right w:w="43" w:type="dxa"/>
            </w:tcMar>
          </w:tcPr>
          <w:p w:rsidR="00CC28ED" w:rsidRPr="00C176B4" w:rsidRDefault="00902BC9"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Contact Person</w:t>
            </w:r>
            <w:r w:rsidR="00CC28ED" w:rsidRPr="00C176B4">
              <w:rPr>
                <w:rFonts w:ascii="Calibri" w:eastAsia="Calibri" w:hAnsi="Calibri" w:cs="Times New Roman"/>
                <w:sz w:val="20"/>
                <w:szCs w:val="20"/>
              </w:rPr>
              <w:t>:</w:t>
            </w:r>
          </w:p>
        </w:tc>
        <w:tc>
          <w:tcPr>
            <w:tcW w:w="4608" w:type="dxa"/>
            <w:shd w:val="clear" w:color="auto" w:fill="auto"/>
            <w:tcMar>
              <w:left w:w="43" w:type="dxa"/>
              <w:right w:w="43" w:type="dxa"/>
            </w:tcMar>
          </w:tcPr>
          <w:p w:rsidR="00CC28ED" w:rsidRPr="00C176B4" w:rsidRDefault="000B0D90"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Health Manager/MH/Disabilities Support Staff</w:t>
            </w:r>
          </w:p>
        </w:tc>
        <w:tc>
          <w:tcPr>
            <w:tcW w:w="2610" w:type="dxa"/>
            <w:shd w:val="clear" w:color="auto" w:fill="auto"/>
            <w:tcMar>
              <w:left w:w="43" w:type="dxa"/>
              <w:right w:w="43" w:type="dxa"/>
            </w:tcMar>
          </w:tcPr>
          <w:p w:rsidR="00CC28ED" w:rsidRPr="00CC28ED" w:rsidRDefault="00902BC9" w:rsidP="00CC28ED">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 xml:space="preserve">PC </w:t>
            </w:r>
            <w:r w:rsidR="00CC28ED" w:rsidRPr="00CC28ED">
              <w:rPr>
                <w:rFonts w:ascii="Calibri" w:eastAsia="Calibri" w:hAnsi="Calibri" w:cs="Times New Roman"/>
                <w:sz w:val="20"/>
                <w:szCs w:val="20"/>
              </w:rPr>
              <w:t>Approval Date:</w:t>
            </w:r>
          </w:p>
        </w:tc>
        <w:tc>
          <w:tcPr>
            <w:tcW w:w="990" w:type="dxa"/>
            <w:shd w:val="clear" w:color="auto" w:fill="auto"/>
            <w:tcMar>
              <w:left w:w="43" w:type="dxa"/>
              <w:right w:w="43" w:type="dxa"/>
            </w:tcMar>
          </w:tcPr>
          <w:p w:rsidR="00CC28ED" w:rsidRPr="00CC28ED" w:rsidRDefault="00C176B4" w:rsidP="00CC28ED">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8/12/17</w:t>
            </w:r>
          </w:p>
        </w:tc>
      </w:tr>
      <w:tr w:rsidR="00902BC9" w:rsidRPr="00CC28ED" w:rsidTr="00902BC9">
        <w:tc>
          <w:tcPr>
            <w:tcW w:w="1777" w:type="dxa"/>
            <w:shd w:val="clear" w:color="auto" w:fill="auto"/>
            <w:tcMar>
              <w:left w:w="43" w:type="dxa"/>
              <w:right w:w="43" w:type="dxa"/>
            </w:tcMar>
          </w:tcPr>
          <w:p w:rsidR="00902BC9" w:rsidRPr="00C176B4" w:rsidRDefault="00902BC9"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Area:</w:t>
            </w:r>
          </w:p>
        </w:tc>
        <w:tc>
          <w:tcPr>
            <w:tcW w:w="4608" w:type="dxa"/>
            <w:shd w:val="clear" w:color="auto" w:fill="auto"/>
            <w:tcMar>
              <w:left w:w="43" w:type="dxa"/>
              <w:right w:w="43" w:type="dxa"/>
            </w:tcMar>
          </w:tcPr>
          <w:p w:rsidR="00902BC9" w:rsidRPr="00C176B4" w:rsidRDefault="000B0D90"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Disabilities</w:t>
            </w:r>
          </w:p>
        </w:tc>
        <w:tc>
          <w:tcPr>
            <w:tcW w:w="2610" w:type="dxa"/>
            <w:shd w:val="clear" w:color="auto" w:fill="auto"/>
          </w:tcPr>
          <w:p w:rsidR="00902BC9" w:rsidRPr="00CC28ED" w:rsidRDefault="00902BC9" w:rsidP="00902BC9">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SPCAA Board Committee </w:t>
            </w:r>
            <w:r w:rsidRPr="00CC28ED">
              <w:rPr>
                <w:rFonts w:ascii="Calibri" w:eastAsia="Calibri" w:hAnsi="Calibri" w:cs="Times New Roman"/>
                <w:sz w:val="20"/>
                <w:szCs w:val="20"/>
              </w:rPr>
              <w:t>Approval Date:</w:t>
            </w:r>
          </w:p>
        </w:tc>
        <w:tc>
          <w:tcPr>
            <w:tcW w:w="990" w:type="dxa"/>
            <w:shd w:val="clear" w:color="auto" w:fill="auto"/>
          </w:tcPr>
          <w:p w:rsidR="00902BC9" w:rsidRPr="00CC28ED" w:rsidRDefault="00C176B4" w:rsidP="00CC28ED">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8/15/17</w:t>
            </w:r>
          </w:p>
        </w:tc>
      </w:tr>
      <w:tr w:rsidR="00902BC9" w:rsidRPr="00CC28ED" w:rsidTr="00902BC9">
        <w:tc>
          <w:tcPr>
            <w:tcW w:w="1777" w:type="dxa"/>
            <w:shd w:val="clear" w:color="auto" w:fill="auto"/>
            <w:tcMar>
              <w:left w:w="43" w:type="dxa"/>
              <w:right w:w="43" w:type="dxa"/>
            </w:tcMar>
          </w:tcPr>
          <w:p w:rsidR="00902BC9" w:rsidRPr="00C176B4" w:rsidRDefault="002C2C60"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Stakeholders</w:t>
            </w:r>
            <w:r w:rsidR="00902BC9" w:rsidRPr="00C176B4">
              <w:rPr>
                <w:rFonts w:ascii="Calibri" w:eastAsia="Calibri" w:hAnsi="Calibri" w:cs="Times New Roman"/>
                <w:sz w:val="20"/>
                <w:szCs w:val="20"/>
              </w:rPr>
              <w:t>:</w:t>
            </w:r>
          </w:p>
        </w:tc>
        <w:tc>
          <w:tcPr>
            <w:tcW w:w="4608" w:type="dxa"/>
            <w:shd w:val="clear" w:color="auto" w:fill="auto"/>
            <w:tcMar>
              <w:left w:w="43" w:type="dxa"/>
              <w:right w:w="43" w:type="dxa"/>
            </w:tcMar>
          </w:tcPr>
          <w:p w:rsidR="00902BC9" w:rsidRPr="00C176B4" w:rsidRDefault="002C2C60"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Al</w:t>
            </w:r>
            <w:r w:rsidR="000B0D90" w:rsidRPr="00C176B4">
              <w:rPr>
                <w:rFonts w:ascii="Calibri" w:eastAsia="Calibri" w:hAnsi="Calibri" w:cs="Times New Roman"/>
                <w:sz w:val="20"/>
                <w:szCs w:val="20"/>
              </w:rPr>
              <w:t>l</w:t>
            </w:r>
            <w:r w:rsidRPr="00C176B4">
              <w:rPr>
                <w:rFonts w:ascii="Calibri" w:eastAsia="Calibri" w:hAnsi="Calibri" w:cs="Times New Roman"/>
                <w:sz w:val="20"/>
                <w:szCs w:val="20"/>
              </w:rPr>
              <w:t xml:space="preserve"> SPCAA</w:t>
            </w:r>
            <w:r w:rsidR="000B0D90" w:rsidRPr="00C176B4">
              <w:rPr>
                <w:rFonts w:ascii="Calibri" w:eastAsia="Calibri" w:hAnsi="Calibri" w:cs="Times New Roman"/>
                <w:sz w:val="20"/>
                <w:szCs w:val="20"/>
              </w:rPr>
              <w:t xml:space="preserve"> Staff</w:t>
            </w:r>
          </w:p>
        </w:tc>
        <w:tc>
          <w:tcPr>
            <w:tcW w:w="2610" w:type="dxa"/>
            <w:shd w:val="clear" w:color="auto" w:fill="auto"/>
          </w:tcPr>
          <w:p w:rsidR="00902BC9" w:rsidRPr="00CC28ED" w:rsidRDefault="00902BC9" w:rsidP="00CC28ED">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 xml:space="preserve">SPCAA Board </w:t>
            </w:r>
            <w:r w:rsidRPr="00CC28ED">
              <w:rPr>
                <w:rFonts w:ascii="Calibri" w:eastAsia="Calibri" w:hAnsi="Calibri" w:cs="Times New Roman"/>
                <w:sz w:val="20"/>
                <w:szCs w:val="20"/>
              </w:rPr>
              <w:t>Approval Date:</w:t>
            </w:r>
          </w:p>
        </w:tc>
        <w:tc>
          <w:tcPr>
            <w:tcW w:w="990" w:type="dxa"/>
            <w:shd w:val="clear" w:color="auto" w:fill="auto"/>
          </w:tcPr>
          <w:p w:rsidR="00902BC9" w:rsidRPr="00CC28ED" w:rsidRDefault="00902BC9" w:rsidP="00CC28ED">
            <w:pPr>
              <w:spacing w:after="0" w:line="240" w:lineRule="auto"/>
              <w:ind w:left="288" w:hanging="288"/>
              <w:rPr>
                <w:rFonts w:ascii="Calibri" w:eastAsia="Calibri" w:hAnsi="Calibri" w:cs="Times New Roman"/>
                <w:sz w:val="20"/>
                <w:szCs w:val="20"/>
              </w:rPr>
            </w:pPr>
            <w:bookmarkStart w:id="0" w:name="_GoBack"/>
            <w:bookmarkEnd w:id="0"/>
          </w:p>
        </w:tc>
      </w:tr>
      <w:tr w:rsidR="002C2C60" w:rsidRPr="00CC28ED" w:rsidTr="00902BC9">
        <w:tc>
          <w:tcPr>
            <w:tcW w:w="1777" w:type="dxa"/>
            <w:shd w:val="clear" w:color="auto" w:fill="auto"/>
            <w:tcMar>
              <w:left w:w="43" w:type="dxa"/>
              <w:right w:w="43" w:type="dxa"/>
            </w:tcMar>
          </w:tcPr>
          <w:p w:rsidR="002C2C60" w:rsidRPr="00C176B4" w:rsidRDefault="002C2C60"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References:</w:t>
            </w:r>
          </w:p>
        </w:tc>
        <w:tc>
          <w:tcPr>
            <w:tcW w:w="4608" w:type="dxa"/>
            <w:shd w:val="clear" w:color="auto" w:fill="auto"/>
            <w:tcMar>
              <w:left w:w="43" w:type="dxa"/>
              <w:right w:w="43" w:type="dxa"/>
            </w:tcMar>
          </w:tcPr>
          <w:p w:rsidR="002C2C60" w:rsidRPr="00C176B4" w:rsidRDefault="000B0D90"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1302.70</w:t>
            </w:r>
          </w:p>
        </w:tc>
        <w:tc>
          <w:tcPr>
            <w:tcW w:w="2610" w:type="dxa"/>
            <w:shd w:val="clear" w:color="auto" w:fill="auto"/>
          </w:tcPr>
          <w:p w:rsidR="002C2C60" w:rsidRDefault="001A140E" w:rsidP="00CC28ED">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Advisory Approval Date:</w:t>
            </w:r>
          </w:p>
        </w:tc>
        <w:tc>
          <w:tcPr>
            <w:tcW w:w="990" w:type="dxa"/>
            <w:shd w:val="clear" w:color="auto" w:fill="auto"/>
          </w:tcPr>
          <w:p w:rsidR="002C2C60" w:rsidRPr="00CC28ED" w:rsidRDefault="002C2C60" w:rsidP="00CC28ED">
            <w:pPr>
              <w:spacing w:after="0" w:line="240" w:lineRule="auto"/>
              <w:ind w:left="288" w:hanging="288"/>
              <w:rPr>
                <w:rFonts w:ascii="Calibri" w:eastAsia="Calibri" w:hAnsi="Calibri" w:cs="Times New Roman"/>
                <w:sz w:val="20"/>
                <w:szCs w:val="20"/>
              </w:rPr>
            </w:pPr>
          </w:p>
        </w:tc>
      </w:tr>
      <w:tr w:rsidR="001A140E" w:rsidRPr="00CC28ED" w:rsidTr="0052429F">
        <w:tc>
          <w:tcPr>
            <w:tcW w:w="1777" w:type="dxa"/>
            <w:shd w:val="clear" w:color="auto" w:fill="auto"/>
            <w:tcMar>
              <w:left w:w="43" w:type="dxa"/>
              <w:right w:w="43" w:type="dxa"/>
            </w:tcMar>
          </w:tcPr>
          <w:p w:rsidR="001A140E" w:rsidRPr="00C176B4" w:rsidRDefault="001A140E" w:rsidP="00CC28ED">
            <w:pPr>
              <w:spacing w:after="0" w:line="240" w:lineRule="auto"/>
              <w:ind w:left="288" w:hanging="288"/>
              <w:rPr>
                <w:rFonts w:ascii="Calibri" w:eastAsia="Calibri" w:hAnsi="Calibri" w:cs="Times New Roman"/>
                <w:sz w:val="20"/>
                <w:szCs w:val="20"/>
              </w:rPr>
            </w:pPr>
            <w:r w:rsidRPr="00C176B4">
              <w:rPr>
                <w:rFonts w:ascii="Calibri" w:eastAsia="Calibri" w:hAnsi="Calibri" w:cs="Times New Roman"/>
                <w:sz w:val="20"/>
                <w:szCs w:val="20"/>
              </w:rPr>
              <w:t>Related Documents:</w:t>
            </w:r>
          </w:p>
        </w:tc>
        <w:tc>
          <w:tcPr>
            <w:tcW w:w="8208" w:type="dxa"/>
            <w:gridSpan w:val="3"/>
            <w:shd w:val="clear" w:color="auto" w:fill="auto"/>
            <w:tcMar>
              <w:left w:w="43" w:type="dxa"/>
              <w:right w:w="43" w:type="dxa"/>
            </w:tcMar>
          </w:tcPr>
          <w:p w:rsidR="001A140E" w:rsidRPr="00C176B4" w:rsidRDefault="001A140E" w:rsidP="00CC28ED">
            <w:pPr>
              <w:spacing w:after="0" w:line="240" w:lineRule="auto"/>
              <w:ind w:left="288" w:hanging="288"/>
              <w:rPr>
                <w:rFonts w:ascii="Calibri" w:eastAsia="Calibri" w:hAnsi="Calibri" w:cs="Times New Roman"/>
                <w:sz w:val="20"/>
                <w:szCs w:val="20"/>
              </w:rPr>
            </w:pPr>
          </w:p>
        </w:tc>
      </w:tr>
    </w:tbl>
    <w:p w:rsidR="00CC28ED" w:rsidRDefault="00CC28ED" w:rsidP="00CC28ED">
      <w:pPr>
        <w:spacing w:after="0" w:line="240" w:lineRule="auto"/>
        <w:ind w:left="288" w:hanging="288"/>
        <w:rPr>
          <w:rFonts w:ascii="Calibri" w:eastAsia="Calibri" w:hAnsi="Calibri" w:cs="Times New Roman"/>
          <w:sz w:val="20"/>
          <w:szCs w:val="20"/>
          <w:u w:val="single"/>
        </w:rPr>
      </w:pPr>
    </w:p>
    <w:p w:rsidR="000B0D90" w:rsidRDefault="000B0D90" w:rsidP="000B0D90">
      <w:pPr>
        <w:pStyle w:val="GuidelinesTitle"/>
        <w:jc w:val="left"/>
        <w:rPr>
          <w:rFonts w:ascii="Times New Roman" w:hAnsi="Times New Roman"/>
          <w:color w:val="auto"/>
          <w:kern w:val="0"/>
          <w:sz w:val="22"/>
          <w:szCs w:val="22"/>
        </w:rPr>
      </w:pPr>
    </w:p>
    <w:p w:rsidR="000B0D90" w:rsidRPr="0007559D" w:rsidRDefault="000B0D90" w:rsidP="000B0D90">
      <w:pPr>
        <w:pStyle w:val="GuidelinesTitle"/>
        <w:jc w:val="left"/>
        <w:rPr>
          <w:rFonts w:asciiTheme="minorHAnsi" w:hAnsiTheme="minorHAnsi" w:cstheme="minorHAnsi"/>
          <w:color w:val="auto"/>
          <w:kern w:val="0"/>
          <w:sz w:val="22"/>
          <w:szCs w:val="22"/>
        </w:rPr>
      </w:pPr>
      <w:r w:rsidRPr="0007559D">
        <w:rPr>
          <w:rFonts w:asciiTheme="minorHAnsi" w:hAnsiTheme="minorHAnsi" w:cstheme="minorHAnsi"/>
          <w:color w:val="auto"/>
          <w:kern w:val="0"/>
          <w:sz w:val="22"/>
          <w:szCs w:val="22"/>
        </w:rPr>
        <w:t>In every aspect of serving children with mental health/disabilities – from referral to diagnosis to implementation of Individualized Education Plans (IEPs) or Individualized Family Service Plans (IFSPs) and</w:t>
      </w:r>
      <w:r w:rsidRPr="0007559D">
        <w:rPr>
          <w:rFonts w:asciiTheme="minorHAnsi" w:hAnsiTheme="minorHAnsi" w:cstheme="minorHAnsi"/>
        </w:rPr>
        <w:t xml:space="preserve"> </w:t>
      </w:r>
      <w:r w:rsidRPr="0007559D">
        <w:rPr>
          <w:rFonts w:asciiTheme="minorHAnsi" w:hAnsiTheme="minorHAnsi" w:cstheme="minorHAnsi"/>
          <w:color w:val="auto"/>
          <w:kern w:val="0"/>
          <w:sz w:val="22"/>
          <w:szCs w:val="22"/>
        </w:rPr>
        <w:t xml:space="preserve">recommendation by License Professional Counselors – Head Start &amp; Early Head Start works collaboratively with parents to ensure that they are not only involved, but guiding the process of meeting the unique needs of their child to ensure school readiness.  This occurs in many formats: </w:t>
      </w:r>
    </w:p>
    <w:p w:rsidR="000B0D90" w:rsidRPr="0007559D" w:rsidRDefault="000B0D90" w:rsidP="000B0D90">
      <w:pPr>
        <w:pStyle w:val="GuidelinesTitle"/>
        <w:jc w:val="left"/>
        <w:rPr>
          <w:rFonts w:asciiTheme="minorHAnsi" w:hAnsiTheme="minorHAnsi" w:cstheme="minorHAnsi"/>
          <w:color w:val="auto"/>
          <w:kern w:val="0"/>
          <w:sz w:val="22"/>
          <w:szCs w:val="22"/>
        </w:rPr>
      </w:pPr>
    </w:p>
    <w:p w:rsidR="000B0D90" w:rsidRPr="0007559D" w:rsidRDefault="000B0D90" w:rsidP="000B0D90">
      <w:pPr>
        <w:pStyle w:val="Guidelinesoverviewbullet"/>
        <w:numPr>
          <w:ilvl w:val="0"/>
          <w:numId w:val="6"/>
        </w:numPr>
        <w:tabs>
          <w:tab w:val="left" w:pos="-360"/>
        </w:tabs>
        <w:spacing w:after="0"/>
        <w:ind w:right="360"/>
        <w:textAlignment w:val="baseline"/>
        <w:rPr>
          <w:rFonts w:asciiTheme="minorHAnsi" w:hAnsiTheme="minorHAnsi" w:cstheme="minorHAnsi"/>
        </w:rPr>
      </w:pPr>
      <w:r w:rsidRPr="0007559D">
        <w:rPr>
          <w:rFonts w:asciiTheme="minorHAnsi" w:hAnsiTheme="minorHAnsi" w:cstheme="minorHAnsi"/>
        </w:rPr>
        <w:t xml:space="preserve">Discussion at recruitment meeting of any MH/Disabilities concerns or existing IEPs/IFSPs  </w:t>
      </w:r>
    </w:p>
    <w:p w:rsidR="000B0D90" w:rsidRPr="0007559D" w:rsidRDefault="000B0D90" w:rsidP="000B0D90">
      <w:pPr>
        <w:pStyle w:val="Guidelinesoverviewbullet"/>
        <w:numPr>
          <w:ilvl w:val="0"/>
          <w:numId w:val="6"/>
        </w:numPr>
        <w:tabs>
          <w:tab w:val="left" w:pos="-360"/>
        </w:tabs>
        <w:spacing w:after="0"/>
        <w:ind w:right="360"/>
        <w:textAlignment w:val="baseline"/>
        <w:rPr>
          <w:rFonts w:asciiTheme="minorHAnsi" w:hAnsiTheme="minorHAnsi" w:cstheme="minorHAnsi"/>
        </w:rPr>
      </w:pPr>
      <w:r w:rsidRPr="0007559D">
        <w:rPr>
          <w:rFonts w:asciiTheme="minorHAnsi" w:hAnsiTheme="minorHAnsi" w:cstheme="minorHAnsi"/>
        </w:rPr>
        <w:t>Parent sign-off and participation in the case of Mental Health &amp; Disabilities Referral, referral to LEA or Part C Agency, development of IEPs/IFSPs, and subsequent team meetings</w:t>
      </w:r>
    </w:p>
    <w:p w:rsidR="000B0D90" w:rsidRPr="0007559D" w:rsidRDefault="000B0D90" w:rsidP="000B0D90">
      <w:pPr>
        <w:pStyle w:val="Guidelinesoverviewbullet"/>
        <w:numPr>
          <w:ilvl w:val="0"/>
          <w:numId w:val="6"/>
        </w:numPr>
        <w:tabs>
          <w:tab w:val="left" w:pos="-360"/>
        </w:tabs>
        <w:spacing w:after="0"/>
        <w:ind w:right="360"/>
        <w:textAlignment w:val="baseline"/>
        <w:rPr>
          <w:rFonts w:asciiTheme="minorHAnsi" w:hAnsiTheme="minorHAnsi" w:cstheme="minorHAnsi"/>
        </w:rPr>
      </w:pPr>
      <w:r w:rsidRPr="0007559D">
        <w:rPr>
          <w:rFonts w:asciiTheme="minorHAnsi" w:hAnsiTheme="minorHAnsi" w:cstheme="minorHAnsi"/>
        </w:rPr>
        <w:t xml:space="preserve">Group and individual parent education on advocating for their child on disabilities issues </w:t>
      </w:r>
    </w:p>
    <w:p w:rsidR="000B0D90" w:rsidRPr="0007559D" w:rsidRDefault="000B0D90" w:rsidP="000B0D90">
      <w:pPr>
        <w:pStyle w:val="Guidelinesoverviewbullet"/>
        <w:numPr>
          <w:ilvl w:val="0"/>
          <w:numId w:val="6"/>
        </w:numPr>
        <w:tabs>
          <w:tab w:val="left" w:pos="-360"/>
        </w:tabs>
        <w:spacing w:after="0"/>
        <w:ind w:right="360"/>
        <w:textAlignment w:val="baseline"/>
        <w:rPr>
          <w:rFonts w:asciiTheme="minorHAnsi" w:hAnsiTheme="minorHAnsi" w:cstheme="minorHAnsi"/>
        </w:rPr>
      </w:pPr>
      <w:r w:rsidRPr="0007559D">
        <w:rPr>
          <w:rFonts w:asciiTheme="minorHAnsi" w:hAnsiTheme="minorHAnsi" w:cstheme="minorHAnsi"/>
        </w:rPr>
        <w:t>Parent-teacher conferences and home visits</w:t>
      </w:r>
    </w:p>
    <w:p w:rsidR="000B0D90" w:rsidRPr="0007559D" w:rsidRDefault="000B0D90" w:rsidP="000B0D90">
      <w:pPr>
        <w:pStyle w:val="Guidelinesoverviewbullet"/>
        <w:numPr>
          <w:ilvl w:val="0"/>
          <w:numId w:val="6"/>
        </w:numPr>
        <w:textAlignment w:val="baseline"/>
        <w:rPr>
          <w:rFonts w:asciiTheme="minorHAnsi" w:hAnsiTheme="minorHAnsi" w:cstheme="minorHAnsi"/>
          <w:color w:val="000000"/>
        </w:rPr>
      </w:pPr>
      <w:r w:rsidRPr="0007559D">
        <w:rPr>
          <w:rFonts w:asciiTheme="minorHAnsi" w:hAnsiTheme="minorHAnsi" w:cstheme="minorHAnsi"/>
          <w:color w:val="000000"/>
        </w:rPr>
        <w:t>Parent, reviewing list of children on a monthly bases.  Staff will review decline services If at any time the parent decline services, management staff will follow-up by calling if child is still having issues and will at that time revisit the parent</w:t>
      </w:r>
    </w:p>
    <w:p w:rsidR="000B0D90" w:rsidRPr="0007559D" w:rsidRDefault="000B0D90" w:rsidP="000B0D90">
      <w:pPr>
        <w:pStyle w:val="GuidelinesText"/>
        <w:tabs>
          <w:tab w:val="clear" w:pos="360"/>
          <w:tab w:val="left" w:pos="2847"/>
        </w:tabs>
        <w:spacing w:after="0"/>
        <w:rPr>
          <w:rFonts w:asciiTheme="minorHAnsi" w:hAnsiTheme="minorHAnsi" w:cstheme="minorHAnsi"/>
          <w:color w:val="000000"/>
          <w:sz w:val="22"/>
          <w:szCs w:val="22"/>
        </w:rPr>
      </w:pPr>
      <w:r w:rsidRPr="0007559D">
        <w:rPr>
          <w:rFonts w:asciiTheme="minorHAnsi" w:hAnsiTheme="minorHAnsi" w:cstheme="minorHAnsi"/>
          <w:color w:val="000000"/>
          <w:sz w:val="22"/>
          <w:szCs w:val="22"/>
        </w:rPr>
        <w:tab/>
      </w:r>
    </w:p>
    <w:p w:rsidR="000B0D90" w:rsidRPr="0007559D" w:rsidRDefault="000B0D90" w:rsidP="000B0D90">
      <w:pPr>
        <w:pStyle w:val="GuidelinesText"/>
        <w:spacing w:after="0"/>
        <w:rPr>
          <w:rFonts w:asciiTheme="minorHAnsi" w:hAnsiTheme="minorHAnsi" w:cstheme="minorHAnsi"/>
          <w:sz w:val="22"/>
          <w:szCs w:val="22"/>
        </w:rPr>
      </w:pPr>
    </w:p>
    <w:p w:rsidR="000B0D90" w:rsidRPr="0007559D" w:rsidRDefault="000B0D90" w:rsidP="000B0D90">
      <w:pPr>
        <w:pStyle w:val="GuidelinesText"/>
        <w:spacing w:after="0"/>
        <w:rPr>
          <w:rFonts w:asciiTheme="minorHAnsi" w:hAnsiTheme="minorHAnsi" w:cstheme="minorHAnsi"/>
        </w:rPr>
      </w:pPr>
      <w:r w:rsidRPr="0007559D">
        <w:rPr>
          <w:rFonts w:asciiTheme="minorHAnsi" w:hAnsiTheme="minorHAnsi" w:cstheme="minorHAnsi"/>
          <w:sz w:val="22"/>
          <w:szCs w:val="22"/>
        </w:rPr>
        <w:t xml:space="preserve">When children are transiting out of Head Start &amp; Early Head Start and into pre-school or kindergarten, Information is provided by Head Start &amp; Early Head Start staff. </w:t>
      </w:r>
    </w:p>
    <w:p w:rsidR="000B0D90" w:rsidRPr="0007559D" w:rsidRDefault="000B0D90" w:rsidP="000B0D90">
      <w:pPr>
        <w:pStyle w:val="GuidelinesText"/>
        <w:spacing w:after="0"/>
        <w:rPr>
          <w:rFonts w:asciiTheme="minorHAnsi" w:hAnsiTheme="minorHAnsi" w:cstheme="minorHAnsi"/>
          <w:sz w:val="22"/>
          <w:szCs w:val="22"/>
        </w:rPr>
      </w:pPr>
    </w:p>
    <w:p w:rsidR="000B0D90" w:rsidRPr="0007559D" w:rsidRDefault="000B0D90" w:rsidP="000B0D90">
      <w:pPr>
        <w:pStyle w:val="Guidelinesoverviewbullet"/>
        <w:numPr>
          <w:ilvl w:val="0"/>
          <w:numId w:val="0"/>
        </w:numPr>
        <w:tabs>
          <w:tab w:val="clear" w:pos="0"/>
        </w:tabs>
        <w:spacing w:after="0"/>
        <w:ind w:left="1080" w:hanging="360"/>
        <w:rPr>
          <w:rFonts w:asciiTheme="minorHAnsi" w:hAnsiTheme="minorHAnsi" w:cstheme="minorHAnsi"/>
        </w:rPr>
      </w:pPr>
      <w:r w:rsidRPr="0007559D">
        <w:rPr>
          <w:rFonts w:asciiTheme="minorHAnsi" w:hAnsiTheme="minorHAnsi" w:cstheme="minorHAnsi"/>
          <w:b/>
        </w:rPr>
        <w:t>IEP/IFSP Transition Meeting</w:t>
      </w:r>
      <w:r w:rsidRPr="0007559D">
        <w:rPr>
          <w:rFonts w:asciiTheme="minorHAnsi" w:hAnsiTheme="minorHAnsi" w:cstheme="minorHAnsi"/>
        </w:rPr>
        <w:t xml:space="preserve">: For children with an IEP, this transition meeting is facilitated by the </w:t>
      </w:r>
      <w:r w:rsidRPr="0007559D">
        <w:rPr>
          <w:rFonts w:asciiTheme="minorHAnsi" w:hAnsiTheme="minorHAnsi" w:cstheme="minorHAnsi"/>
          <w:color w:val="000000"/>
        </w:rPr>
        <w:t>MH/Disability</w:t>
      </w:r>
      <w:r w:rsidRPr="0007559D">
        <w:rPr>
          <w:rFonts w:asciiTheme="minorHAnsi" w:hAnsiTheme="minorHAnsi" w:cstheme="minorHAnsi"/>
        </w:rPr>
        <w:t xml:space="preserve"> Support staff in conjunction with the child’s parent(s) in order to assist the family with transition to pre-school or kindergarten outside of Head Start.  For EHS children with an Individualized Family Service Plan (IFSP), the Mental Health &amp; Disability Support staff will be present at the transition meeting in order to discuss actions needed to obtain services from the school district. </w:t>
      </w:r>
    </w:p>
    <w:sectPr w:rsidR="000B0D90" w:rsidRPr="0007559D" w:rsidSect="002C7469">
      <w:headerReference w:type="default" r:id="rId7"/>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8D" w:rsidRDefault="003E1E8D" w:rsidP="007F05DF">
      <w:pPr>
        <w:spacing w:after="0" w:line="240" w:lineRule="auto"/>
      </w:pPr>
      <w:r>
        <w:separator/>
      </w:r>
    </w:p>
  </w:endnote>
  <w:endnote w:type="continuationSeparator" w:id="0">
    <w:p w:rsidR="003E1E8D" w:rsidRDefault="003E1E8D"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8D" w:rsidRDefault="003E1E8D" w:rsidP="007F05DF">
      <w:pPr>
        <w:spacing w:after="0" w:line="240" w:lineRule="auto"/>
      </w:pPr>
      <w:r>
        <w:separator/>
      </w:r>
    </w:p>
  </w:footnote>
  <w:footnote w:type="continuationSeparator" w:id="0">
    <w:p w:rsidR="003E1E8D" w:rsidRDefault="003E1E8D"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1B23"/>
    <w:multiLevelType w:val="multilevel"/>
    <w:tmpl w:val="61CC43E0"/>
    <w:styleLink w:val="LFO6"/>
    <w:lvl w:ilvl="0">
      <w:numFmt w:val="bullet"/>
      <w:lvlText w:val=""/>
      <w:lvlJc w:val="left"/>
      <w:pPr>
        <w:ind w:left="108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529EB"/>
    <w:multiLevelType w:val="multilevel"/>
    <w:tmpl w:val="9814D0BA"/>
    <w:styleLink w:val="LFO5"/>
    <w:lvl w:ilvl="0">
      <w:numFmt w:val="bullet"/>
      <w:pStyle w:val="Guidelinesoverviewbullet"/>
      <w:lvlText w:val=""/>
      <w:lvlJc w:val="left"/>
      <w:pPr>
        <w:ind w:left="108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7559D"/>
    <w:rsid w:val="000A0B54"/>
    <w:rsid w:val="000B0D90"/>
    <w:rsid w:val="000B4A36"/>
    <w:rsid w:val="000C7769"/>
    <w:rsid w:val="000E416C"/>
    <w:rsid w:val="001A140E"/>
    <w:rsid w:val="002C2C60"/>
    <w:rsid w:val="002C7469"/>
    <w:rsid w:val="00322943"/>
    <w:rsid w:val="003444AF"/>
    <w:rsid w:val="00355FFE"/>
    <w:rsid w:val="003E1E8D"/>
    <w:rsid w:val="0048067A"/>
    <w:rsid w:val="004C292B"/>
    <w:rsid w:val="00635092"/>
    <w:rsid w:val="00681ED7"/>
    <w:rsid w:val="006C0423"/>
    <w:rsid w:val="00741A3B"/>
    <w:rsid w:val="00771D3C"/>
    <w:rsid w:val="007854E3"/>
    <w:rsid w:val="007918C4"/>
    <w:rsid w:val="007C1CBE"/>
    <w:rsid w:val="007C38E5"/>
    <w:rsid w:val="007D3EAC"/>
    <w:rsid w:val="007E75F3"/>
    <w:rsid w:val="007F05DF"/>
    <w:rsid w:val="00830088"/>
    <w:rsid w:val="00902BC9"/>
    <w:rsid w:val="009136AD"/>
    <w:rsid w:val="009513CE"/>
    <w:rsid w:val="0098603A"/>
    <w:rsid w:val="00AA491A"/>
    <w:rsid w:val="00AE5991"/>
    <w:rsid w:val="00B57731"/>
    <w:rsid w:val="00C176B4"/>
    <w:rsid w:val="00C65EE3"/>
    <w:rsid w:val="00CA3B28"/>
    <w:rsid w:val="00CC28ED"/>
    <w:rsid w:val="00D3589B"/>
    <w:rsid w:val="00DC2FA2"/>
    <w:rsid w:val="00EB0823"/>
    <w:rsid w:val="00F04E8D"/>
    <w:rsid w:val="00FB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1EE2"/>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 w:type="paragraph" w:customStyle="1" w:styleId="GuidelinesTitle">
    <w:name w:val="Guidelines Title"/>
    <w:rsid w:val="000B0D90"/>
    <w:pPr>
      <w:tabs>
        <w:tab w:val="left" w:pos="360"/>
      </w:tabs>
      <w:suppressAutoHyphens/>
      <w:autoSpaceDN w:val="0"/>
      <w:spacing w:after="0" w:line="240" w:lineRule="auto"/>
      <w:jc w:val="center"/>
    </w:pPr>
    <w:rPr>
      <w:rFonts w:ascii="Arial Black" w:eastAsia="Times New Roman" w:hAnsi="Arial Black" w:cs="Times New Roman"/>
      <w:color w:val="000000"/>
      <w:kern w:val="3"/>
      <w:sz w:val="28"/>
      <w:szCs w:val="24"/>
    </w:rPr>
  </w:style>
  <w:style w:type="paragraph" w:customStyle="1" w:styleId="GuidelinesHeading">
    <w:name w:val="Guidelines Heading"/>
    <w:basedOn w:val="GuidelinesTitle"/>
    <w:next w:val="Normal"/>
    <w:rsid w:val="000B0D90"/>
    <w:pPr>
      <w:spacing w:line="360" w:lineRule="auto"/>
      <w:jc w:val="left"/>
    </w:pPr>
    <w:rPr>
      <w:rFonts w:ascii="Arial" w:hAnsi="Arial"/>
      <w:b/>
      <w:bCs/>
      <w:smallCaps/>
      <w:sz w:val="26"/>
    </w:rPr>
  </w:style>
  <w:style w:type="paragraph" w:customStyle="1" w:styleId="Guidelinesoverviewbullet">
    <w:name w:val="Guidelines overview bullet"/>
    <w:basedOn w:val="Normal"/>
    <w:rsid w:val="000B0D90"/>
    <w:pPr>
      <w:numPr>
        <w:numId w:val="5"/>
      </w:numPr>
      <w:tabs>
        <w:tab w:val="left" w:pos="0"/>
      </w:tabs>
      <w:suppressAutoHyphens/>
      <w:autoSpaceDN w:val="0"/>
      <w:spacing w:after="120" w:line="240" w:lineRule="auto"/>
      <w:ind w:right="720"/>
    </w:pPr>
    <w:rPr>
      <w:rFonts w:ascii="Times New Roman" w:eastAsia="Times New Roman" w:hAnsi="Times New Roman" w:cs="Times New Roman"/>
    </w:rPr>
  </w:style>
  <w:style w:type="paragraph" w:customStyle="1" w:styleId="GuidelinesText">
    <w:name w:val="Guidelines Text"/>
    <w:rsid w:val="000B0D90"/>
    <w:pPr>
      <w:tabs>
        <w:tab w:val="left" w:pos="360"/>
      </w:tabs>
      <w:suppressAutoHyphens/>
      <w:autoSpaceDN w:val="0"/>
      <w:spacing w:after="180" w:line="240" w:lineRule="auto"/>
    </w:pPr>
    <w:rPr>
      <w:rFonts w:ascii="Times New Roman" w:eastAsia="Times New Roman" w:hAnsi="Times New Roman" w:cs="Times New Roman"/>
      <w:sz w:val="23"/>
      <w:szCs w:val="24"/>
    </w:rPr>
  </w:style>
  <w:style w:type="numbering" w:customStyle="1" w:styleId="LFO5">
    <w:name w:val="LFO5"/>
    <w:rsid w:val="000B0D90"/>
    <w:pPr>
      <w:numPr>
        <w:numId w:val="5"/>
      </w:numPr>
    </w:pPr>
  </w:style>
  <w:style w:type="numbering" w:customStyle="1" w:styleId="LFO6">
    <w:name w:val="LFO6"/>
    <w:rsid w:val="000B0D9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6</cp:revision>
  <dcterms:created xsi:type="dcterms:W3CDTF">2017-07-31T04:26:00Z</dcterms:created>
  <dcterms:modified xsi:type="dcterms:W3CDTF">2017-08-23T15:59:00Z</dcterms:modified>
</cp:coreProperties>
</file>